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B2" w:rsidRPr="007C261E" w:rsidRDefault="00AB37B2" w:rsidP="00AB37B2">
      <w:pPr>
        <w:pStyle w:val="PlainText"/>
        <w:rPr>
          <w:rFonts w:ascii="Verdana" w:hAnsi="Verdana"/>
          <w:b/>
          <w:sz w:val="28"/>
          <w:szCs w:val="28"/>
        </w:rPr>
      </w:pPr>
      <w:r w:rsidRPr="007C261E">
        <w:rPr>
          <w:rFonts w:ascii="Verdana" w:hAnsi="Verdana"/>
          <w:b/>
          <w:sz w:val="28"/>
          <w:szCs w:val="28"/>
        </w:rPr>
        <w:t>125</w:t>
      </w:r>
      <w:r w:rsidRPr="007C261E">
        <w:rPr>
          <w:rFonts w:ascii="Verdana" w:hAnsi="Verdana"/>
          <w:b/>
          <w:sz w:val="28"/>
          <w:szCs w:val="28"/>
          <w:vertAlign w:val="superscript"/>
        </w:rPr>
        <w:t>th</w:t>
      </w:r>
      <w:r w:rsidRPr="007C261E">
        <w:rPr>
          <w:rFonts w:ascii="Verdana" w:hAnsi="Verdana"/>
          <w:b/>
          <w:sz w:val="28"/>
          <w:szCs w:val="28"/>
        </w:rPr>
        <w:t xml:space="preserve"> Anniversary of Superior Court</w:t>
      </w:r>
    </w:p>
    <w:p w:rsidR="00AB37B2" w:rsidRPr="007C261E" w:rsidRDefault="00AB37B2" w:rsidP="00AB37B2">
      <w:pPr>
        <w:pStyle w:val="PlainText"/>
        <w:rPr>
          <w:rFonts w:ascii="Verdana" w:hAnsi="Verdana"/>
          <w:b/>
          <w:sz w:val="28"/>
          <w:szCs w:val="28"/>
        </w:rPr>
      </w:pPr>
      <w:r w:rsidRPr="007C261E">
        <w:rPr>
          <w:rFonts w:ascii="Verdana" w:hAnsi="Verdana"/>
          <w:b/>
          <w:sz w:val="28"/>
          <w:szCs w:val="28"/>
        </w:rPr>
        <w:t>Luzerne County</w:t>
      </w:r>
    </w:p>
    <w:p w:rsidR="00BD10EE" w:rsidRPr="007C261E" w:rsidRDefault="00BD10EE" w:rsidP="00AB37B2">
      <w:pPr>
        <w:pStyle w:val="PlainText"/>
        <w:rPr>
          <w:rFonts w:ascii="Verdana" w:hAnsi="Verdana"/>
          <w:b/>
          <w:sz w:val="28"/>
          <w:szCs w:val="28"/>
        </w:rPr>
      </w:pPr>
      <w:r w:rsidRPr="007C261E">
        <w:rPr>
          <w:rFonts w:ascii="Verdana" w:hAnsi="Verdana"/>
          <w:b/>
          <w:sz w:val="28"/>
          <w:szCs w:val="28"/>
        </w:rPr>
        <w:t xml:space="preserve">October 22, 2020 </w:t>
      </w:r>
      <w:r w:rsidRPr="007C261E">
        <w:rPr>
          <w:rFonts w:ascii="Verdana" w:hAnsi="Verdana" w:cs="Calibri"/>
          <w:b/>
          <w:sz w:val="28"/>
          <w:szCs w:val="28"/>
        </w:rPr>
        <w:t>•</w:t>
      </w:r>
      <w:r w:rsidRPr="007C261E">
        <w:rPr>
          <w:rFonts w:ascii="Verdana" w:hAnsi="Verdana"/>
          <w:b/>
          <w:sz w:val="28"/>
          <w:szCs w:val="28"/>
        </w:rPr>
        <w:t xml:space="preserve"> 12:00 p.m.</w:t>
      </w:r>
    </w:p>
    <w:p w:rsidR="00AB37B2" w:rsidRDefault="00AB37B2" w:rsidP="00AB37B2">
      <w:pPr>
        <w:pStyle w:val="PlainText"/>
        <w:rPr>
          <w:b/>
          <w:sz w:val="28"/>
          <w:szCs w:val="28"/>
        </w:rPr>
      </w:pPr>
    </w:p>
    <w:p w:rsidR="00BD10EE" w:rsidRPr="00BD10EE" w:rsidRDefault="00BD10EE" w:rsidP="00BD10EE">
      <w:pPr>
        <w:pStyle w:val="PlainText"/>
        <w:jc w:val="center"/>
        <w:rPr>
          <w:b/>
          <w:sz w:val="28"/>
          <w:szCs w:val="28"/>
        </w:rPr>
      </w:pPr>
      <w:r>
        <w:rPr>
          <w:b/>
          <w:sz w:val="28"/>
          <w:szCs w:val="28"/>
        </w:rPr>
        <w:t>____________________________________________________</w:t>
      </w:r>
    </w:p>
    <w:p w:rsidR="00BD10EE" w:rsidRDefault="00BD10EE" w:rsidP="00AB37B2">
      <w:pPr>
        <w:pStyle w:val="PlainText"/>
        <w:rPr>
          <w:b/>
          <w:sz w:val="28"/>
          <w:szCs w:val="28"/>
        </w:rPr>
      </w:pPr>
    </w:p>
    <w:p w:rsidR="00AB37B2" w:rsidRPr="0074515D" w:rsidRDefault="00AB37B2" w:rsidP="00AB37B2">
      <w:pPr>
        <w:pStyle w:val="PlainText"/>
        <w:rPr>
          <w:rFonts w:ascii="Verdana" w:hAnsi="Verdana"/>
          <w:b/>
          <w:sz w:val="24"/>
          <w:szCs w:val="24"/>
        </w:rPr>
      </w:pPr>
      <w:r w:rsidRPr="0074515D">
        <w:rPr>
          <w:rFonts w:ascii="Verdana" w:hAnsi="Verdana"/>
          <w:b/>
          <w:sz w:val="24"/>
          <w:szCs w:val="24"/>
        </w:rPr>
        <w:t>Case Presentation</w:t>
      </w:r>
      <w:r w:rsidR="007C261E">
        <w:rPr>
          <w:rFonts w:ascii="Verdana" w:hAnsi="Verdana"/>
          <w:b/>
          <w:sz w:val="24"/>
          <w:szCs w:val="24"/>
        </w:rPr>
        <w:t xml:space="preserve">: </w:t>
      </w:r>
      <w:bookmarkStart w:id="0" w:name="_GoBack"/>
      <w:bookmarkEnd w:id="0"/>
      <w:r w:rsidRPr="0074515D">
        <w:rPr>
          <w:rFonts w:ascii="Verdana" w:hAnsi="Verdana"/>
          <w:b/>
          <w:sz w:val="24"/>
          <w:szCs w:val="24"/>
        </w:rPr>
        <w:t>P.J.E. Correale Stevens and P.J. Jack Panella</w:t>
      </w:r>
    </w:p>
    <w:p w:rsidR="007C261E" w:rsidRPr="0074515D" w:rsidRDefault="007C261E" w:rsidP="00AB37B2">
      <w:pPr>
        <w:pStyle w:val="PlainText"/>
        <w:rPr>
          <w:rFonts w:ascii="Verdana" w:hAnsi="Verdana"/>
          <w:sz w:val="24"/>
          <w:szCs w:val="24"/>
        </w:rPr>
      </w:pPr>
    </w:p>
    <w:p w:rsidR="00AB37B2" w:rsidRDefault="00AB37B2" w:rsidP="00AB37B2">
      <w:pPr>
        <w:pStyle w:val="PlainText"/>
        <w:rPr>
          <w:rFonts w:ascii="Verdana" w:hAnsi="Verdana"/>
          <w:sz w:val="24"/>
          <w:szCs w:val="24"/>
        </w:rPr>
      </w:pPr>
      <w:r w:rsidRPr="0074515D">
        <w:rPr>
          <w:rFonts w:ascii="Verdana" w:hAnsi="Verdana"/>
          <w:b/>
          <w:i/>
          <w:sz w:val="24"/>
          <w:szCs w:val="24"/>
        </w:rPr>
        <w:t xml:space="preserve">Wilkes-Barre v. </w:t>
      </w:r>
      <w:proofErr w:type="spellStart"/>
      <w:r w:rsidRPr="0074515D">
        <w:rPr>
          <w:rFonts w:ascii="Verdana" w:hAnsi="Verdana"/>
          <w:b/>
          <w:i/>
          <w:sz w:val="24"/>
          <w:szCs w:val="24"/>
        </w:rPr>
        <w:t>Garabed</w:t>
      </w:r>
      <w:proofErr w:type="spellEnd"/>
      <w:r w:rsidRPr="0074515D">
        <w:rPr>
          <w:rFonts w:ascii="Verdana" w:hAnsi="Verdana"/>
          <w:sz w:val="24"/>
          <w:szCs w:val="24"/>
        </w:rPr>
        <w:t>, an 1899 case decided by the Superior Court</w:t>
      </w:r>
    </w:p>
    <w:p w:rsidR="0074515D" w:rsidRDefault="0074515D" w:rsidP="00AB37B2">
      <w:pPr>
        <w:pStyle w:val="PlainText"/>
        <w:rPr>
          <w:rFonts w:ascii="Verdana" w:hAnsi="Verdana"/>
          <w:sz w:val="24"/>
          <w:szCs w:val="24"/>
        </w:rPr>
      </w:pPr>
    </w:p>
    <w:p w:rsidR="0074515D" w:rsidRDefault="0074515D" w:rsidP="00AB37B2">
      <w:pPr>
        <w:pStyle w:val="PlainText"/>
        <w:rPr>
          <w:rFonts w:ascii="Verdana" w:hAnsi="Verdana"/>
          <w:sz w:val="24"/>
          <w:szCs w:val="24"/>
        </w:rPr>
      </w:pPr>
    </w:p>
    <w:p w:rsidR="0074515D" w:rsidRDefault="0074515D" w:rsidP="00AB37B2">
      <w:pPr>
        <w:pStyle w:val="PlainText"/>
        <w:rPr>
          <w:rFonts w:ascii="Verdana" w:hAnsi="Verdana"/>
          <w:sz w:val="24"/>
          <w:szCs w:val="24"/>
        </w:rPr>
      </w:pPr>
    </w:p>
    <w:p w:rsidR="0074515D" w:rsidRPr="0021723B" w:rsidRDefault="0074515D" w:rsidP="00AB37B2">
      <w:pPr>
        <w:pStyle w:val="PlainText"/>
        <w:rPr>
          <w:rFonts w:ascii="Verdana" w:hAnsi="Verdana"/>
          <w:b/>
          <w:color w:val="323E4F" w:themeColor="text2" w:themeShade="BF"/>
          <w:sz w:val="24"/>
          <w:szCs w:val="24"/>
          <w:u w:val="single"/>
        </w:rPr>
      </w:pPr>
      <w:r w:rsidRPr="0021723B">
        <w:rPr>
          <w:rFonts w:ascii="Verdana" w:hAnsi="Verdana"/>
          <w:b/>
          <w:color w:val="323E4F" w:themeColor="text2" w:themeShade="BF"/>
          <w:sz w:val="24"/>
          <w:szCs w:val="24"/>
          <w:u w:val="single"/>
        </w:rPr>
        <w:t>Wilkes-Barre Ordinance, Section 8</w:t>
      </w:r>
    </w:p>
    <w:p w:rsidR="0074515D" w:rsidRDefault="0074515D" w:rsidP="00AB37B2">
      <w:pPr>
        <w:pStyle w:val="PlainText"/>
        <w:rPr>
          <w:rFonts w:ascii="Verdana" w:hAnsi="Verdana"/>
          <w:b/>
          <w:sz w:val="24"/>
          <w:szCs w:val="24"/>
          <w:u w:val="single"/>
        </w:rPr>
      </w:pPr>
    </w:p>
    <w:p w:rsidR="0074515D" w:rsidRPr="007C261E" w:rsidRDefault="0074515D" w:rsidP="0074515D">
      <w:pPr>
        <w:widowControl w:val="0"/>
        <w:autoSpaceDE w:val="0"/>
        <w:autoSpaceDN w:val="0"/>
        <w:adjustRightInd w:val="0"/>
        <w:spacing w:after="0" w:line="360" w:lineRule="auto"/>
        <w:jc w:val="both"/>
        <w:rPr>
          <w:rFonts w:ascii="Verdana" w:hAnsi="Verdana"/>
          <w:color w:val="323E4F" w:themeColor="text2" w:themeShade="BF"/>
          <w:sz w:val="24"/>
          <w:szCs w:val="24"/>
        </w:rPr>
      </w:pPr>
      <w:r w:rsidRPr="007C261E">
        <w:rPr>
          <w:rFonts w:ascii="Verdana" w:hAnsi="Verdana"/>
          <w:color w:val="323E4F" w:themeColor="text2" w:themeShade="BF"/>
          <w:sz w:val="24"/>
          <w:szCs w:val="24"/>
        </w:rPr>
        <w:t xml:space="preserve">It shall not be lawful for any person or persons to appear in any of the public streets or places in said city to play upon any hand-organ, hurdy-gurdy, tambourine, or other musical instruments, or beat upon a drum, or blow a horn or trumpet, without a permit from the Mayor, and any such permit may be </w:t>
      </w:r>
      <w:bookmarkStart w:id="1" w:name="co_pp_sp_659_357_1"/>
      <w:bookmarkEnd w:id="1"/>
      <w:r w:rsidRPr="007C261E">
        <w:rPr>
          <w:rFonts w:ascii="Verdana" w:hAnsi="Verdana"/>
          <w:color w:val="323E4F" w:themeColor="text2" w:themeShade="BF"/>
          <w:sz w:val="24"/>
          <w:szCs w:val="24"/>
        </w:rPr>
        <w:t xml:space="preserve">revoked by the Mayor whenever he may deem it expedient. And whoever appears in any of the streets, alleys or public places, to play, beat or blow upon either of such instruments without such permit, shall be liable to a fine of not less than two dollars nor more than twenty dollars. </w:t>
      </w:r>
    </w:p>
    <w:p w:rsidR="0074515D" w:rsidRPr="007C261E" w:rsidRDefault="0074515D" w:rsidP="0074515D">
      <w:pPr>
        <w:widowControl w:val="0"/>
        <w:autoSpaceDE w:val="0"/>
        <w:autoSpaceDN w:val="0"/>
        <w:adjustRightInd w:val="0"/>
        <w:spacing w:after="0" w:line="360" w:lineRule="auto"/>
        <w:jc w:val="both"/>
        <w:rPr>
          <w:rFonts w:ascii="Verdana" w:hAnsi="Verdana"/>
          <w:color w:val="323E4F" w:themeColor="text2" w:themeShade="BF"/>
          <w:sz w:val="24"/>
          <w:szCs w:val="24"/>
        </w:rPr>
      </w:pPr>
    </w:p>
    <w:p w:rsidR="0074515D" w:rsidRPr="007C261E" w:rsidRDefault="0074515D" w:rsidP="0074515D">
      <w:pPr>
        <w:widowControl w:val="0"/>
        <w:autoSpaceDE w:val="0"/>
        <w:autoSpaceDN w:val="0"/>
        <w:adjustRightInd w:val="0"/>
        <w:spacing w:after="0" w:line="360" w:lineRule="auto"/>
        <w:jc w:val="both"/>
        <w:rPr>
          <w:rFonts w:ascii="Verdana" w:hAnsi="Verdana"/>
          <w:color w:val="323E4F" w:themeColor="text2" w:themeShade="BF"/>
          <w:sz w:val="24"/>
          <w:szCs w:val="24"/>
        </w:rPr>
      </w:pPr>
      <w:r w:rsidRPr="007C261E">
        <w:rPr>
          <w:rFonts w:ascii="Verdana" w:hAnsi="Verdana"/>
          <w:color w:val="323E4F" w:themeColor="text2" w:themeShade="BF"/>
          <w:sz w:val="24"/>
          <w:szCs w:val="24"/>
        </w:rPr>
        <w:t>The High Constable or any policeman shall have the right to demand for examination the permit of any person so playing, beating or blowing. And no hand-organ shall be played more than one hour in any one day in any part of a public street between the same two cross streets, nor more than twenty minutes in front of the same premises, under a penalty of two dollars for each offence.</w:t>
      </w:r>
    </w:p>
    <w:p w:rsidR="0074515D" w:rsidRPr="0074515D" w:rsidRDefault="0074515D" w:rsidP="00AB37B2">
      <w:pPr>
        <w:pStyle w:val="PlainText"/>
        <w:rPr>
          <w:rFonts w:ascii="Verdana" w:hAnsi="Verdana"/>
          <w:sz w:val="24"/>
          <w:szCs w:val="24"/>
        </w:rPr>
      </w:pPr>
    </w:p>
    <w:p w:rsidR="00AB37B2" w:rsidRDefault="00AB37B2" w:rsidP="00AB37B2">
      <w:pPr>
        <w:pStyle w:val="PlainText"/>
        <w:rPr>
          <w:rFonts w:ascii="Verdana" w:hAnsi="Verdana"/>
          <w:sz w:val="24"/>
          <w:szCs w:val="24"/>
        </w:rPr>
      </w:pPr>
    </w:p>
    <w:p w:rsidR="0074515D" w:rsidRPr="007C261E" w:rsidRDefault="0074515D" w:rsidP="00AB37B2">
      <w:pPr>
        <w:pStyle w:val="PlainText"/>
        <w:rPr>
          <w:rFonts w:ascii="Verdana" w:hAnsi="Verdana"/>
          <w:b/>
          <w:color w:val="323E4F" w:themeColor="text2" w:themeShade="BF"/>
          <w:sz w:val="24"/>
          <w:szCs w:val="24"/>
          <w:u w:val="single"/>
        </w:rPr>
      </w:pPr>
      <w:r w:rsidRPr="007C261E">
        <w:rPr>
          <w:rFonts w:ascii="Verdana" w:hAnsi="Verdana"/>
          <w:b/>
          <w:color w:val="323E4F" w:themeColor="text2" w:themeShade="BF"/>
          <w:sz w:val="24"/>
          <w:szCs w:val="24"/>
          <w:u w:val="single"/>
        </w:rPr>
        <w:t>Fourteenth Amendment of the Constitution of the United States</w:t>
      </w:r>
    </w:p>
    <w:p w:rsidR="0074515D" w:rsidRPr="0074515D" w:rsidRDefault="0074515D" w:rsidP="0074515D">
      <w:pPr>
        <w:shd w:val="clear" w:color="auto" w:fill="FFFFFF"/>
        <w:spacing w:before="300" w:after="150" w:line="240" w:lineRule="auto"/>
        <w:outlineLvl w:val="1"/>
        <w:rPr>
          <w:rFonts w:ascii="Verdana" w:eastAsia="Times New Roman" w:hAnsi="Verdana" w:cs="Times New Roman"/>
          <w:color w:val="323E4F" w:themeColor="text2" w:themeShade="BF"/>
          <w:sz w:val="24"/>
          <w:szCs w:val="24"/>
        </w:rPr>
      </w:pPr>
      <w:r w:rsidRPr="0074515D">
        <w:rPr>
          <w:rFonts w:ascii="Verdana" w:eastAsia="Times New Roman" w:hAnsi="Verdana" w:cs="Times New Roman"/>
          <w:color w:val="323E4F" w:themeColor="text2" w:themeShade="BF"/>
          <w:sz w:val="24"/>
          <w:szCs w:val="24"/>
        </w:rPr>
        <w:t>Amendment XIV</w:t>
      </w:r>
    </w:p>
    <w:p w:rsidR="0074515D" w:rsidRPr="0074515D" w:rsidRDefault="0074515D" w:rsidP="0074515D">
      <w:pPr>
        <w:shd w:val="clear" w:color="auto" w:fill="FFFFFF"/>
        <w:spacing w:before="300" w:after="150" w:line="240" w:lineRule="auto"/>
        <w:outlineLvl w:val="1"/>
        <w:rPr>
          <w:rFonts w:ascii="Verdana" w:eastAsia="Times New Roman" w:hAnsi="Verdana" w:cs="Times New Roman"/>
          <w:color w:val="323E4F" w:themeColor="text2" w:themeShade="BF"/>
          <w:sz w:val="24"/>
          <w:szCs w:val="24"/>
        </w:rPr>
      </w:pPr>
      <w:r w:rsidRPr="0074515D">
        <w:rPr>
          <w:rFonts w:ascii="Verdana" w:eastAsia="Times New Roman" w:hAnsi="Verdana" w:cs="Times New Roman"/>
          <w:color w:val="323E4F" w:themeColor="text2" w:themeShade="BF"/>
          <w:sz w:val="24"/>
          <w:szCs w:val="24"/>
        </w:rPr>
        <w:lastRenderedPageBreak/>
        <w:t>Section 1.</w:t>
      </w:r>
    </w:p>
    <w:p w:rsidR="0074515D" w:rsidRPr="0074515D" w:rsidRDefault="0074515D" w:rsidP="0074515D">
      <w:pPr>
        <w:shd w:val="clear" w:color="auto" w:fill="FFFFFF"/>
        <w:spacing w:after="0" w:line="360" w:lineRule="auto"/>
        <w:jc w:val="both"/>
        <w:rPr>
          <w:rFonts w:ascii="Verdana" w:eastAsia="Times New Roman" w:hAnsi="Verdana" w:cs="Times New Roman"/>
          <w:color w:val="323E4F" w:themeColor="text2" w:themeShade="BF"/>
          <w:sz w:val="24"/>
          <w:szCs w:val="24"/>
        </w:rPr>
      </w:pPr>
      <w:r w:rsidRPr="0074515D">
        <w:rPr>
          <w:rFonts w:ascii="Verdana" w:eastAsia="Times New Roman" w:hAnsi="Verdana" w:cs="Times New Roman"/>
          <w:color w:val="323E4F" w:themeColor="text2" w:themeShade="BF"/>
          <w:sz w:val="24"/>
          <w:szCs w:val="24"/>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74515D" w:rsidRPr="007C261E" w:rsidRDefault="0074515D" w:rsidP="00AB37B2">
      <w:pPr>
        <w:pStyle w:val="PlainText"/>
        <w:rPr>
          <w:color w:val="323E4F" w:themeColor="text2" w:themeShade="BF"/>
        </w:rPr>
      </w:pPr>
    </w:p>
    <w:p w:rsidR="0074515D" w:rsidRPr="007C261E" w:rsidRDefault="0074515D" w:rsidP="00AB37B2">
      <w:pPr>
        <w:pStyle w:val="PlainText"/>
        <w:rPr>
          <w:color w:val="323E4F" w:themeColor="text2" w:themeShade="BF"/>
        </w:rPr>
      </w:pPr>
    </w:p>
    <w:p w:rsidR="0074515D" w:rsidRPr="007C261E" w:rsidRDefault="0021723B" w:rsidP="00AB37B2">
      <w:pPr>
        <w:pStyle w:val="PlainText"/>
        <w:rPr>
          <w:rFonts w:ascii="Verdana" w:hAnsi="Verdana"/>
          <w:b/>
          <w:color w:val="323E4F" w:themeColor="text2" w:themeShade="BF"/>
          <w:sz w:val="24"/>
          <w:szCs w:val="24"/>
          <w:u w:val="single"/>
        </w:rPr>
      </w:pPr>
      <w:r w:rsidRPr="007C261E">
        <w:rPr>
          <w:rFonts w:ascii="Verdana" w:hAnsi="Verdana"/>
          <w:b/>
          <w:color w:val="323E4F" w:themeColor="text2" w:themeShade="BF"/>
          <w:sz w:val="24"/>
          <w:szCs w:val="24"/>
          <w:u w:val="single"/>
        </w:rPr>
        <w:t xml:space="preserve">Article One </w:t>
      </w:r>
      <w:r w:rsidR="0074515D" w:rsidRPr="007C261E">
        <w:rPr>
          <w:rFonts w:ascii="Verdana" w:hAnsi="Verdana"/>
          <w:b/>
          <w:color w:val="323E4F" w:themeColor="text2" w:themeShade="BF"/>
          <w:sz w:val="24"/>
          <w:szCs w:val="24"/>
          <w:u w:val="single"/>
        </w:rPr>
        <w:t>of the Constitution of Pennsylvania</w:t>
      </w:r>
    </w:p>
    <w:p w:rsidR="0074515D" w:rsidRPr="007C261E" w:rsidRDefault="0074515D" w:rsidP="00AB37B2">
      <w:pPr>
        <w:pStyle w:val="PlainText"/>
        <w:rPr>
          <w:rFonts w:ascii="Verdana" w:hAnsi="Verdana"/>
          <w:b/>
          <w:color w:val="323E4F" w:themeColor="text2" w:themeShade="BF"/>
          <w:sz w:val="24"/>
          <w:szCs w:val="24"/>
          <w:u w:val="single"/>
        </w:rPr>
      </w:pPr>
    </w:p>
    <w:p w:rsidR="0074515D" w:rsidRPr="007C261E" w:rsidRDefault="0074515D" w:rsidP="0021723B">
      <w:pPr>
        <w:pStyle w:val="NormalWeb"/>
        <w:shd w:val="clear" w:color="auto" w:fill="FFFFFF" w:themeFill="background1"/>
        <w:spacing w:before="0" w:beforeAutospacing="0" w:after="15" w:afterAutospacing="0"/>
        <w:jc w:val="both"/>
        <w:rPr>
          <w:rFonts w:ascii="Verdana" w:hAnsi="Verdana"/>
          <w:bCs/>
          <w:color w:val="323E4F" w:themeColor="text2" w:themeShade="BF"/>
        </w:rPr>
      </w:pPr>
      <w:r w:rsidRPr="007C261E">
        <w:rPr>
          <w:rFonts w:ascii="Verdana" w:hAnsi="Verdana"/>
          <w:bCs/>
          <w:color w:val="323E4F" w:themeColor="text2" w:themeShade="BF"/>
        </w:rPr>
        <w:t>Article I</w:t>
      </w:r>
      <w:r w:rsidR="0021723B" w:rsidRPr="007C261E">
        <w:rPr>
          <w:rFonts w:ascii="Verdana" w:hAnsi="Verdana"/>
          <w:bCs/>
          <w:color w:val="323E4F" w:themeColor="text2" w:themeShade="BF"/>
        </w:rPr>
        <w:t xml:space="preserve"> • </w:t>
      </w:r>
      <w:r w:rsidRPr="007C261E">
        <w:rPr>
          <w:rFonts w:ascii="Verdana" w:hAnsi="Verdana"/>
          <w:bCs/>
          <w:color w:val="323E4F" w:themeColor="text2" w:themeShade="BF"/>
        </w:rPr>
        <w:t>Section 3.</w:t>
      </w:r>
    </w:p>
    <w:p w:rsidR="0021723B" w:rsidRPr="007C261E" w:rsidRDefault="0021723B" w:rsidP="0021723B">
      <w:pPr>
        <w:pStyle w:val="NormalWeb"/>
        <w:shd w:val="clear" w:color="auto" w:fill="FFFFFF" w:themeFill="background1"/>
        <w:spacing w:before="0" w:beforeAutospacing="0" w:after="15" w:afterAutospacing="0"/>
        <w:jc w:val="both"/>
        <w:rPr>
          <w:rFonts w:ascii="Verdana" w:hAnsi="Verdana"/>
          <w:b/>
          <w:bCs/>
          <w:color w:val="323E4F" w:themeColor="text2" w:themeShade="BF"/>
        </w:rPr>
      </w:pPr>
    </w:p>
    <w:p w:rsidR="0074515D" w:rsidRPr="007C261E" w:rsidRDefault="0074515D" w:rsidP="0021723B">
      <w:pPr>
        <w:pStyle w:val="NormalWeb"/>
        <w:shd w:val="clear" w:color="auto" w:fill="FFFFFF" w:themeFill="background1"/>
        <w:spacing w:before="0" w:beforeAutospacing="0" w:after="15" w:afterAutospacing="0"/>
        <w:jc w:val="both"/>
        <w:rPr>
          <w:rFonts w:ascii="Verdana" w:hAnsi="Verdana"/>
          <w:b/>
          <w:bCs/>
          <w:color w:val="323E4F" w:themeColor="text2" w:themeShade="BF"/>
        </w:rPr>
      </w:pPr>
      <w:r w:rsidRPr="007C261E">
        <w:rPr>
          <w:rFonts w:ascii="Verdana" w:hAnsi="Verdana"/>
          <w:b/>
          <w:bCs/>
          <w:color w:val="323E4F" w:themeColor="text2" w:themeShade="BF"/>
        </w:rPr>
        <w:t>Religious Freedom</w:t>
      </w:r>
    </w:p>
    <w:p w:rsidR="0021723B" w:rsidRPr="007C261E" w:rsidRDefault="0021723B" w:rsidP="0021723B">
      <w:pPr>
        <w:pStyle w:val="NormalWeb"/>
        <w:shd w:val="clear" w:color="auto" w:fill="FFFFFF" w:themeFill="background1"/>
        <w:spacing w:before="0" w:beforeAutospacing="0" w:after="0" w:afterAutospacing="0"/>
        <w:jc w:val="both"/>
        <w:rPr>
          <w:rFonts w:ascii="Verdana" w:hAnsi="Verdana"/>
          <w:color w:val="323E4F" w:themeColor="text2" w:themeShade="BF"/>
        </w:rPr>
      </w:pPr>
    </w:p>
    <w:p w:rsidR="0074515D" w:rsidRPr="007C261E" w:rsidRDefault="0074515D" w:rsidP="007C261E">
      <w:pPr>
        <w:pStyle w:val="NormalWeb"/>
        <w:shd w:val="clear" w:color="auto" w:fill="FFFFFF" w:themeFill="background1"/>
        <w:spacing w:before="0" w:beforeAutospacing="0" w:after="150" w:afterAutospacing="0" w:line="360" w:lineRule="auto"/>
        <w:jc w:val="both"/>
        <w:rPr>
          <w:rFonts w:ascii="Verdana" w:hAnsi="Verdana"/>
          <w:color w:val="323E4F" w:themeColor="text2" w:themeShade="BF"/>
        </w:rPr>
      </w:pPr>
      <w:r w:rsidRPr="007C261E">
        <w:rPr>
          <w:rFonts w:ascii="Verdana" w:hAnsi="Verdana"/>
          <w:color w:val="323E4F" w:themeColor="text2" w:themeShade="BF"/>
        </w:rPr>
        <w:t>All men have a natural and indefeasible right to worship Almighty God according to the dictates of their own consciences; no man can of right be compelled to attend, erect or support any place of worship or to maintain any ministry against his consent; no human authority can, in any case whatever, control or interfere with the rights of conscience, and no preference shall ever be given by law to any religious establishments or modes of worship.</w:t>
      </w:r>
    </w:p>
    <w:p w:rsidR="0021723B" w:rsidRPr="007C261E" w:rsidRDefault="0021723B" w:rsidP="0021723B">
      <w:pPr>
        <w:pStyle w:val="PlainText"/>
        <w:jc w:val="center"/>
        <w:rPr>
          <w:rFonts w:ascii="Verdana" w:hAnsi="Verdana"/>
          <w:color w:val="323E4F" w:themeColor="text2" w:themeShade="BF"/>
          <w:sz w:val="24"/>
          <w:szCs w:val="24"/>
        </w:rPr>
      </w:pPr>
      <w:r w:rsidRPr="007C261E">
        <w:rPr>
          <w:rFonts w:ascii="Verdana" w:hAnsi="Verdana"/>
          <w:color w:val="323E4F" w:themeColor="text2" w:themeShade="BF"/>
          <w:sz w:val="24"/>
          <w:szCs w:val="24"/>
        </w:rPr>
        <w:t xml:space="preserve">• </w:t>
      </w:r>
      <w:r w:rsidRPr="007C261E">
        <w:rPr>
          <w:rFonts w:ascii="Verdana" w:hAnsi="Verdana"/>
          <w:color w:val="323E4F" w:themeColor="text2" w:themeShade="BF"/>
          <w:sz w:val="24"/>
          <w:szCs w:val="24"/>
        </w:rPr>
        <w:t>•</w:t>
      </w:r>
      <w:r w:rsidRPr="007C261E">
        <w:rPr>
          <w:rFonts w:ascii="Verdana" w:hAnsi="Verdana"/>
          <w:color w:val="323E4F" w:themeColor="text2" w:themeShade="BF"/>
          <w:sz w:val="24"/>
          <w:szCs w:val="24"/>
        </w:rPr>
        <w:t xml:space="preserve"> </w:t>
      </w:r>
      <w:r w:rsidRPr="007C261E">
        <w:rPr>
          <w:rFonts w:ascii="Verdana" w:hAnsi="Verdana"/>
          <w:color w:val="323E4F" w:themeColor="text2" w:themeShade="BF"/>
          <w:sz w:val="24"/>
          <w:szCs w:val="24"/>
        </w:rPr>
        <w:t>• •</w:t>
      </w:r>
      <w:r w:rsidRPr="007C261E">
        <w:rPr>
          <w:rFonts w:ascii="Verdana" w:hAnsi="Verdana"/>
          <w:color w:val="323E4F" w:themeColor="text2" w:themeShade="BF"/>
          <w:sz w:val="24"/>
          <w:szCs w:val="24"/>
        </w:rPr>
        <w:t xml:space="preserve"> </w:t>
      </w:r>
      <w:r w:rsidRPr="007C261E">
        <w:rPr>
          <w:rFonts w:ascii="Verdana" w:hAnsi="Verdana"/>
          <w:color w:val="323E4F" w:themeColor="text2" w:themeShade="BF"/>
          <w:sz w:val="24"/>
          <w:szCs w:val="24"/>
        </w:rPr>
        <w:t>• • • •</w:t>
      </w:r>
    </w:p>
    <w:p w:rsidR="0021723B" w:rsidRPr="007C261E" w:rsidRDefault="0021723B" w:rsidP="00AB37B2">
      <w:pPr>
        <w:pStyle w:val="PlainText"/>
        <w:rPr>
          <w:rFonts w:ascii="Verdana" w:hAnsi="Verdana"/>
          <w:color w:val="323E4F" w:themeColor="text2" w:themeShade="BF"/>
          <w:sz w:val="24"/>
          <w:szCs w:val="24"/>
        </w:rPr>
      </w:pPr>
    </w:p>
    <w:p w:rsidR="0021723B" w:rsidRPr="007C261E" w:rsidRDefault="0021723B" w:rsidP="0021723B">
      <w:pPr>
        <w:pStyle w:val="PlainText"/>
        <w:spacing w:after="15"/>
        <w:rPr>
          <w:rFonts w:ascii="Verdana" w:hAnsi="Verdana"/>
          <w:color w:val="323E4F" w:themeColor="text2" w:themeShade="BF"/>
          <w:sz w:val="24"/>
          <w:szCs w:val="24"/>
        </w:rPr>
      </w:pPr>
      <w:r w:rsidRPr="007C261E">
        <w:rPr>
          <w:rFonts w:ascii="Verdana" w:hAnsi="Verdana"/>
          <w:color w:val="323E4F" w:themeColor="text2" w:themeShade="BF"/>
          <w:sz w:val="24"/>
          <w:szCs w:val="24"/>
        </w:rPr>
        <w:t>Article I • Section 26</w:t>
      </w:r>
    </w:p>
    <w:p w:rsidR="0021723B" w:rsidRPr="007C261E" w:rsidRDefault="0021723B" w:rsidP="0021723B">
      <w:pPr>
        <w:pStyle w:val="PlainText"/>
        <w:spacing w:after="15"/>
        <w:rPr>
          <w:rFonts w:ascii="Verdana" w:hAnsi="Verdana"/>
          <w:color w:val="323E4F" w:themeColor="text2" w:themeShade="BF"/>
          <w:sz w:val="24"/>
          <w:szCs w:val="24"/>
        </w:rPr>
      </w:pPr>
    </w:p>
    <w:p w:rsidR="0021723B" w:rsidRPr="007C261E" w:rsidRDefault="0021723B" w:rsidP="0021723B">
      <w:pPr>
        <w:pStyle w:val="PlainText"/>
        <w:spacing w:after="15"/>
        <w:rPr>
          <w:rFonts w:ascii="Verdana" w:hAnsi="Verdana"/>
          <w:b/>
          <w:color w:val="323E4F" w:themeColor="text2" w:themeShade="BF"/>
          <w:sz w:val="24"/>
          <w:szCs w:val="24"/>
        </w:rPr>
      </w:pPr>
      <w:r w:rsidRPr="007C261E">
        <w:rPr>
          <w:rFonts w:ascii="Verdana" w:hAnsi="Verdana"/>
          <w:b/>
          <w:color w:val="323E4F" w:themeColor="text2" w:themeShade="BF"/>
          <w:sz w:val="24"/>
          <w:szCs w:val="24"/>
        </w:rPr>
        <w:t>No Discrimination by Commonwealth and Its Political Subdivisions</w:t>
      </w:r>
    </w:p>
    <w:p w:rsidR="0021723B" w:rsidRPr="007C261E" w:rsidRDefault="0021723B" w:rsidP="00AB37B2">
      <w:pPr>
        <w:pStyle w:val="PlainText"/>
        <w:rPr>
          <w:rFonts w:ascii="Verdana" w:hAnsi="Verdana"/>
          <w:color w:val="323E4F" w:themeColor="text2" w:themeShade="BF"/>
          <w:sz w:val="24"/>
          <w:szCs w:val="24"/>
        </w:rPr>
      </w:pPr>
    </w:p>
    <w:p w:rsidR="0021723B" w:rsidRPr="007C261E" w:rsidRDefault="0021723B" w:rsidP="007C261E">
      <w:pPr>
        <w:pStyle w:val="PlainText"/>
        <w:spacing w:line="360" w:lineRule="auto"/>
        <w:jc w:val="both"/>
        <w:rPr>
          <w:rFonts w:ascii="Verdana" w:hAnsi="Verdana"/>
          <w:color w:val="323E4F" w:themeColor="text2" w:themeShade="BF"/>
          <w:sz w:val="24"/>
          <w:szCs w:val="24"/>
        </w:rPr>
      </w:pPr>
      <w:r w:rsidRPr="007C261E">
        <w:rPr>
          <w:rFonts w:ascii="Verdana" w:hAnsi="Verdana"/>
          <w:color w:val="323E4F" w:themeColor="text2" w:themeShade="BF"/>
          <w:sz w:val="24"/>
          <w:szCs w:val="24"/>
        </w:rPr>
        <w:t xml:space="preserve">Neither the Commonwealth nor any political subdivision thereof shall deny to any person the enjoyment of any civil right, nor discriminate against any person in the exercise of any civil right. </w:t>
      </w:r>
    </w:p>
    <w:p w:rsidR="0021723B" w:rsidRPr="007C261E" w:rsidRDefault="0021723B" w:rsidP="00AB37B2">
      <w:pPr>
        <w:pStyle w:val="PlainText"/>
        <w:rPr>
          <w:rFonts w:ascii="Verdana" w:hAnsi="Verdana"/>
          <w:color w:val="323E4F" w:themeColor="text2" w:themeShade="BF"/>
          <w:sz w:val="24"/>
          <w:szCs w:val="24"/>
        </w:rPr>
      </w:pPr>
    </w:p>
    <w:p w:rsidR="0021723B" w:rsidRDefault="0021723B" w:rsidP="00AB37B2">
      <w:pPr>
        <w:pStyle w:val="PlainText"/>
        <w:rPr>
          <w:rFonts w:ascii="Verdana" w:hAnsi="Verdana"/>
          <w:color w:val="323E4F" w:themeColor="text2" w:themeShade="BF"/>
          <w:sz w:val="24"/>
          <w:szCs w:val="24"/>
        </w:rPr>
      </w:pPr>
    </w:p>
    <w:p w:rsidR="007C261E" w:rsidRDefault="007C261E" w:rsidP="00AB37B2">
      <w:pPr>
        <w:pStyle w:val="PlainText"/>
        <w:rPr>
          <w:rFonts w:ascii="Verdana" w:hAnsi="Verdana"/>
          <w:color w:val="323E4F" w:themeColor="text2" w:themeShade="BF"/>
          <w:sz w:val="24"/>
          <w:szCs w:val="24"/>
        </w:rPr>
      </w:pPr>
    </w:p>
    <w:p w:rsidR="007C261E" w:rsidRDefault="007C261E" w:rsidP="00AB37B2">
      <w:pPr>
        <w:pStyle w:val="PlainText"/>
        <w:rPr>
          <w:rFonts w:ascii="Verdana" w:hAnsi="Verdana"/>
          <w:color w:val="323E4F" w:themeColor="text2" w:themeShade="BF"/>
          <w:sz w:val="24"/>
          <w:szCs w:val="24"/>
        </w:rPr>
      </w:pPr>
    </w:p>
    <w:p w:rsidR="007C261E" w:rsidRPr="007C261E" w:rsidRDefault="007C261E" w:rsidP="00AB37B2">
      <w:pPr>
        <w:pStyle w:val="PlainText"/>
        <w:rPr>
          <w:rFonts w:ascii="Verdana" w:hAnsi="Verdana"/>
          <w:color w:val="323E4F" w:themeColor="text2" w:themeShade="BF"/>
          <w:sz w:val="24"/>
          <w:szCs w:val="24"/>
        </w:rPr>
      </w:pPr>
    </w:p>
    <w:p w:rsidR="0021723B" w:rsidRPr="007C261E" w:rsidRDefault="0021723B" w:rsidP="0021723B">
      <w:pPr>
        <w:pStyle w:val="PlainText"/>
        <w:rPr>
          <w:rFonts w:ascii="Verdana" w:hAnsi="Verdana"/>
          <w:b/>
          <w:color w:val="323E4F" w:themeColor="text2" w:themeShade="BF"/>
          <w:sz w:val="24"/>
          <w:szCs w:val="24"/>
          <w:u w:val="single"/>
        </w:rPr>
      </w:pPr>
      <w:r w:rsidRPr="007C261E">
        <w:rPr>
          <w:rFonts w:ascii="Verdana" w:hAnsi="Verdana"/>
          <w:b/>
          <w:color w:val="323E4F" w:themeColor="text2" w:themeShade="BF"/>
          <w:sz w:val="24"/>
          <w:szCs w:val="24"/>
          <w:u w:val="single"/>
        </w:rPr>
        <w:lastRenderedPageBreak/>
        <w:t xml:space="preserve">The Constitution </w:t>
      </w:r>
      <w:r w:rsidRPr="007C261E">
        <w:rPr>
          <w:rFonts w:ascii="Verdana" w:hAnsi="Verdana"/>
          <w:b/>
          <w:color w:val="323E4F" w:themeColor="text2" w:themeShade="BF"/>
          <w:sz w:val="24"/>
          <w:szCs w:val="24"/>
          <w:u w:val="single"/>
        </w:rPr>
        <w:t>of Pennsylvania</w:t>
      </w:r>
      <w:r w:rsidRPr="007C261E">
        <w:rPr>
          <w:rFonts w:ascii="Verdana" w:hAnsi="Verdana"/>
          <w:b/>
          <w:color w:val="323E4F" w:themeColor="text2" w:themeShade="BF"/>
          <w:sz w:val="24"/>
          <w:szCs w:val="24"/>
          <w:u w:val="single"/>
        </w:rPr>
        <w:t xml:space="preserve"> – September 28, 1776</w:t>
      </w:r>
    </w:p>
    <w:p w:rsidR="0074515D" w:rsidRPr="0074515D" w:rsidRDefault="0074515D" w:rsidP="0021723B">
      <w:pPr>
        <w:shd w:val="clear" w:color="auto" w:fill="FFFFFF"/>
        <w:spacing w:before="100" w:beforeAutospacing="1" w:after="100" w:afterAutospacing="1" w:line="240" w:lineRule="auto"/>
        <w:jc w:val="both"/>
        <w:outlineLvl w:val="2"/>
        <w:rPr>
          <w:rFonts w:ascii="Verdana" w:eastAsia="Times New Roman" w:hAnsi="Verdana" w:cs="Arial"/>
          <w:b/>
          <w:bCs/>
          <w:color w:val="323E4F" w:themeColor="text2" w:themeShade="BF"/>
          <w:sz w:val="24"/>
          <w:szCs w:val="24"/>
        </w:rPr>
      </w:pPr>
      <w:r w:rsidRPr="0074515D">
        <w:rPr>
          <w:rFonts w:ascii="Verdana" w:eastAsia="Times New Roman" w:hAnsi="Verdana" w:cs="Arial"/>
          <w:b/>
          <w:bCs/>
          <w:color w:val="323E4F" w:themeColor="text2" w:themeShade="BF"/>
          <w:sz w:val="24"/>
          <w:szCs w:val="24"/>
        </w:rPr>
        <w:t>A DECLARATION OF THE RIGHTS OF THE INHABITANTS OF THE COMMONWEALTH OR STATE OF PENNSYLVANIA</w:t>
      </w:r>
    </w:p>
    <w:p w:rsidR="0074515D" w:rsidRPr="0074515D" w:rsidRDefault="0074515D" w:rsidP="007C261E">
      <w:pPr>
        <w:shd w:val="clear" w:color="auto" w:fill="FFFFFF"/>
        <w:spacing w:after="0" w:line="360" w:lineRule="auto"/>
        <w:ind w:firstLine="360"/>
        <w:jc w:val="both"/>
        <w:rPr>
          <w:rFonts w:ascii="Verdana" w:eastAsia="Times New Roman" w:hAnsi="Verdana" w:cs="Arial"/>
          <w:color w:val="323E4F" w:themeColor="text2" w:themeShade="BF"/>
          <w:sz w:val="24"/>
          <w:szCs w:val="24"/>
        </w:rPr>
      </w:pPr>
      <w:r w:rsidRPr="0074515D">
        <w:rPr>
          <w:rFonts w:ascii="Verdana" w:eastAsia="Times New Roman" w:hAnsi="Verdana" w:cs="Arial"/>
          <w:b/>
          <w:color w:val="323E4F" w:themeColor="text2" w:themeShade="BF"/>
          <w:sz w:val="24"/>
          <w:szCs w:val="24"/>
        </w:rPr>
        <w:t>I.</w:t>
      </w:r>
      <w:r w:rsidRPr="0074515D">
        <w:rPr>
          <w:rFonts w:ascii="Verdana" w:eastAsia="Times New Roman" w:hAnsi="Verdana" w:cs="Arial"/>
          <w:color w:val="323E4F" w:themeColor="text2" w:themeShade="BF"/>
          <w:sz w:val="24"/>
          <w:szCs w:val="24"/>
        </w:rPr>
        <w:t xml:space="preserve"> That all men are born equally free and independent, and have certain natural, inherent and inalienable rights, amongst which are, the enjoying and defending life and liberty, acquiring, possessing and protecting property, and pursuing and obtaining happiness and safety.</w:t>
      </w:r>
    </w:p>
    <w:p w:rsidR="0074515D" w:rsidRPr="0074515D" w:rsidRDefault="0074515D" w:rsidP="007C261E">
      <w:pPr>
        <w:shd w:val="clear" w:color="auto" w:fill="FFFFFF"/>
        <w:spacing w:after="0" w:line="360" w:lineRule="auto"/>
        <w:ind w:firstLine="360"/>
        <w:jc w:val="both"/>
        <w:rPr>
          <w:rFonts w:ascii="Verdana" w:eastAsia="Times New Roman" w:hAnsi="Verdana" w:cs="Arial"/>
          <w:color w:val="323E4F" w:themeColor="text2" w:themeShade="BF"/>
          <w:sz w:val="24"/>
          <w:szCs w:val="24"/>
        </w:rPr>
      </w:pPr>
      <w:r w:rsidRPr="0074515D">
        <w:rPr>
          <w:rFonts w:ascii="Verdana" w:eastAsia="Times New Roman" w:hAnsi="Verdana" w:cs="Arial"/>
          <w:b/>
          <w:color w:val="323E4F" w:themeColor="text2" w:themeShade="BF"/>
          <w:sz w:val="24"/>
          <w:szCs w:val="24"/>
        </w:rPr>
        <w:t>II.</w:t>
      </w:r>
      <w:r w:rsidRPr="0074515D">
        <w:rPr>
          <w:rFonts w:ascii="Verdana" w:eastAsia="Times New Roman" w:hAnsi="Verdana" w:cs="Arial"/>
          <w:color w:val="323E4F" w:themeColor="text2" w:themeShade="BF"/>
          <w:sz w:val="24"/>
          <w:szCs w:val="24"/>
        </w:rPr>
        <w:t xml:space="preserve"> That all men have a natural and unalienable right to worship Almighty God according to the dictates of their own consciences and understanding: And that no man ought or of right can be compelled to attend any religious worship, or erect or support any place of worship, or maintain any ministry, contrary to, or against, his own free will and consent: Nor can any man, who acknowledges the being of a God, be justly deprived or abridged of any civil right as a citizen, on account of his religious sentiments or peculiar mode of religious worship: And that no authority can or ought to be vested in, or assumed by any power whatever, that shall in any case interfere with, or in any manner </w:t>
      </w:r>
      <w:proofErr w:type="spellStart"/>
      <w:r w:rsidRPr="0074515D">
        <w:rPr>
          <w:rFonts w:ascii="Verdana" w:eastAsia="Times New Roman" w:hAnsi="Verdana" w:cs="Arial"/>
          <w:color w:val="323E4F" w:themeColor="text2" w:themeShade="BF"/>
          <w:sz w:val="24"/>
          <w:szCs w:val="24"/>
        </w:rPr>
        <w:t>controul</w:t>
      </w:r>
      <w:proofErr w:type="spellEnd"/>
      <w:r w:rsidRPr="0074515D">
        <w:rPr>
          <w:rFonts w:ascii="Verdana" w:eastAsia="Times New Roman" w:hAnsi="Verdana" w:cs="Arial"/>
          <w:color w:val="323E4F" w:themeColor="text2" w:themeShade="BF"/>
          <w:sz w:val="24"/>
          <w:szCs w:val="24"/>
        </w:rPr>
        <w:t>, the right of conscience in the free exercise of religious worship.</w:t>
      </w:r>
    </w:p>
    <w:p w:rsidR="0074515D" w:rsidRPr="007C261E" w:rsidRDefault="0074515D" w:rsidP="00AB37B2">
      <w:pPr>
        <w:pStyle w:val="PlainText"/>
        <w:rPr>
          <w:rFonts w:ascii="Verdana" w:hAnsi="Verdana"/>
          <w:color w:val="323E4F" w:themeColor="text2" w:themeShade="BF"/>
          <w:sz w:val="24"/>
          <w:szCs w:val="24"/>
        </w:rPr>
      </w:pPr>
    </w:p>
    <w:sectPr w:rsidR="0074515D" w:rsidRPr="007C261E" w:rsidSect="0021723B">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23B" w:rsidRDefault="0021723B" w:rsidP="0021723B">
      <w:pPr>
        <w:spacing w:after="0" w:line="240" w:lineRule="auto"/>
      </w:pPr>
      <w:r>
        <w:separator/>
      </w:r>
    </w:p>
  </w:endnote>
  <w:endnote w:type="continuationSeparator" w:id="0">
    <w:p w:rsidR="0021723B" w:rsidRDefault="0021723B" w:rsidP="0021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353874"/>
      <w:docPartObj>
        <w:docPartGallery w:val="Page Numbers (Bottom of Page)"/>
        <w:docPartUnique/>
      </w:docPartObj>
    </w:sdtPr>
    <w:sdtEndPr>
      <w:rPr>
        <w:noProof/>
      </w:rPr>
    </w:sdtEndPr>
    <w:sdtContent>
      <w:p w:rsidR="0021723B" w:rsidRDefault="0021723B">
        <w:pPr>
          <w:pStyle w:val="Footer"/>
          <w:jc w:val="center"/>
        </w:pPr>
        <w:r>
          <w:fldChar w:fldCharType="begin"/>
        </w:r>
        <w:r>
          <w:instrText xml:space="preserve"> PAGE   \* MERGEFORMAT </w:instrText>
        </w:r>
        <w:r>
          <w:fldChar w:fldCharType="separate"/>
        </w:r>
        <w:r w:rsidR="007C261E">
          <w:rPr>
            <w:noProof/>
          </w:rPr>
          <w:t>2</w:t>
        </w:r>
        <w:r>
          <w:rPr>
            <w:noProof/>
          </w:rPr>
          <w:fldChar w:fldCharType="end"/>
        </w:r>
      </w:p>
    </w:sdtContent>
  </w:sdt>
  <w:p w:rsidR="0021723B" w:rsidRDefault="00217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23B" w:rsidRDefault="0021723B" w:rsidP="0021723B">
      <w:pPr>
        <w:spacing w:after="0" w:line="240" w:lineRule="auto"/>
      </w:pPr>
      <w:r>
        <w:separator/>
      </w:r>
    </w:p>
  </w:footnote>
  <w:footnote w:type="continuationSeparator" w:id="0">
    <w:p w:rsidR="0021723B" w:rsidRDefault="0021723B" w:rsidP="002172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B2"/>
    <w:rsid w:val="0021723B"/>
    <w:rsid w:val="002507E1"/>
    <w:rsid w:val="0074515D"/>
    <w:rsid w:val="007C261E"/>
    <w:rsid w:val="00AB37B2"/>
    <w:rsid w:val="00BD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490B"/>
  <w15:chartTrackingRefBased/>
  <w15:docId w15:val="{C3E20EE4-E588-4A8D-9E8E-61A1C7A9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37B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B37B2"/>
    <w:rPr>
      <w:rFonts w:ascii="Calibri" w:hAnsi="Calibri"/>
      <w:szCs w:val="21"/>
    </w:rPr>
  </w:style>
  <w:style w:type="paragraph" w:styleId="NormalWeb">
    <w:name w:val="Normal (Web)"/>
    <w:basedOn w:val="Normal"/>
    <w:uiPriority w:val="99"/>
    <w:semiHidden/>
    <w:unhideWhenUsed/>
    <w:rsid w:val="0074515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7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23B"/>
  </w:style>
  <w:style w:type="paragraph" w:styleId="Footer">
    <w:name w:val="footer"/>
    <w:basedOn w:val="Normal"/>
    <w:link w:val="FooterChar"/>
    <w:uiPriority w:val="99"/>
    <w:unhideWhenUsed/>
    <w:rsid w:val="00217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2651">
      <w:bodyDiv w:val="1"/>
      <w:marLeft w:val="0"/>
      <w:marRight w:val="0"/>
      <w:marTop w:val="0"/>
      <w:marBottom w:val="0"/>
      <w:divBdr>
        <w:top w:val="none" w:sz="0" w:space="0" w:color="auto"/>
        <w:left w:val="none" w:sz="0" w:space="0" w:color="auto"/>
        <w:bottom w:val="none" w:sz="0" w:space="0" w:color="auto"/>
        <w:right w:val="none" w:sz="0" w:space="0" w:color="auto"/>
      </w:divBdr>
    </w:div>
    <w:div w:id="368378159">
      <w:bodyDiv w:val="1"/>
      <w:marLeft w:val="0"/>
      <w:marRight w:val="0"/>
      <w:marTop w:val="0"/>
      <w:marBottom w:val="0"/>
      <w:divBdr>
        <w:top w:val="none" w:sz="0" w:space="0" w:color="auto"/>
        <w:left w:val="none" w:sz="0" w:space="0" w:color="auto"/>
        <w:bottom w:val="none" w:sz="0" w:space="0" w:color="auto"/>
        <w:right w:val="none" w:sz="0" w:space="0" w:color="auto"/>
      </w:divBdr>
    </w:div>
    <w:div w:id="399642201">
      <w:bodyDiv w:val="1"/>
      <w:marLeft w:val="0"/>
      <w:marRight w:val="0"/>
      <w:marTop w:val="0"/>
      <w:marBottom w:val="0"/>
      <w:divBdr>
        <w:top w:val="none" w:sz="0" w:space="0" w:color="auto"/>
        <w:left w:val="none" w:sz="0" w:space="0" w:color="auto"/>
        <w:bottom w:val="none" w:sz="0" w:space="0" w:color="auto"/>
        <w:right w:val="none" w:sz="0" w:space="0" w:color="auto"/>
      </w:divBdr>
    </w:div>
    <w:div w:id="1092360940">
      <w:bodyDiv w:val="1"/>
      <w:marLeft w:val="0"/>
      <w:marRight w:val="0"/>
      <w:marTop w:val="0"/>
      <w:marBottom w:val="0"/>
      <w:divBdr>
        <w:top w:val="none" w:sz="0" w:space="0" w:color="auto"/>
        <w:left w:val="none" w:sz="0" w:space="0" w:color="auto"/>
        <w:bottom w:val="none" w:sz="0" w:space="0" w:color="auto"/>
        <w:right w:val="none" w:sz="0" w:space="0" w:color="auto"/>
      </w:divBdr>
    </w:div>
    <w:div w:id="18373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Superior Court of Pennsylvania</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Panella, Jack</dc:creator>
  <cp:keywords/>
  <dc:description/>
  <cp:lastModifiedBy>Panella, Jack</cp:lastModifiedBy>
  <cp:revision>2</cp:revision>
  <dcterms:created xsi:type="dcterms:W3CDTF">2020-09-25T17:59:00Z</dcterms:created>
  <dcterms:modified xsi:type="dcterms:W3CDTF">2020-09-25T17:59:00Z</dcterms:modified>
</cp:coreProperties>
</file>